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61F0" w14:textId="77777777" w:rsidR="002177EB" w:rsidRPr="00FC539C" w:rsidRDefault="002177EB" w:rsidP="002177EB">
      <w:pPr>
        <w:rPr>
          <w:rFonts w:cstheme="minorHAnsi"/>
          <w:sz w:val="24"/>
          <w:szCs w:val="24"/>
        </w:rPr>
      </w:pPr>
      <w:r w:rsidRPr="00FC539C">
        <w:rPr>
          <w:rFonts w:cstheme="minorHAnsi"/>
          <w:b/>
          <w:bCs/>
          <w:sz w:val="24"/>
          <w:szCs w:val="24"/>
        </w:rPr>
        <w:t>Nom du Produit :</w:t>
      </w:r>
      <w:r w:rsidRPr="00FC539C">
        <w:rPr>
          <w:rFonts w:cstheme="minorHAnsi"/>
          <w:sz w:val="24"/>
          <w:szCs w:val="24"/>
        </w:rPr>
        <w:t xml:space="preserve"> Poche d'Unité de Sang Placentaire</w:t>
      </w:r>
    </w:p>
    <w:p w14:paraId="78C906C1" w14:textId="77777777" w:rsidR="002177EB" w:rsidRDefault="002177EB" w:rsidP="002177EB">
      <w:pPr>
        <w:rPr>
          <w:rFonts w:cstheme="minorHAnsi"/>
          <w:sz w:val="24"/>
          <w:szCs w:val="24"/>
        </w:rPr>
      </w:pPr>
      <w:r w:rsidRPr="00FC539C">
        <w:rPr>
          <w:rFonts w:cstheme="minorHAnsi"/>
          <w:b/>
          <w:bCs/>
          <w:sz w:val="24"/>
          <w:szCs w:val="24"/>
        </w:rPr>
        <w:t>Description :</w:t>
      </w:r>
      <w:r w:rsidRPr="00FC539C">
        <w:rPr>
          <w:rFonts w:cstheme="minorHAnsi"/>
          <w:sz w:val="24"/>
          <w:szCs w:val="24"/>
        </w:rPr>
        <w:t xml:space="preserve"> Le sang placentaire, également connu sous le nom de sang de cordon ombilical, est riche en cellules souches hématopoïétiques. Il est collecté après la naissance, à partir du cordon ombilical et du placenta. Ce sang est utilisé pour les greffes de cellules souches, offrant une alternative aux cellules souches de moelle osseuse ou de sang périphérique</w:t>
      </w:r>
      <w:r>
        <w:rPr>
          <w:rFonts w:cstheme="minorHAnsi"/>
          <w:sz w:val="24"/>
          <w:szCs w:val="24"/>
        </w:rPr>
        <w:t xml:space="preserve"> généralement pour un receveur non apparenté.</w:t>
      </w:r>
    </w:p>
    <w:p w14:paraId="531520C2" w14:textId="6EEE2DE2" w:rsidR="002177EB" w:rsidRPr="00FC539C" w:rsidRDefault="002177EB" w:rsidP="002177E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Dans de rares cas l’unité de sang placentaire peut être intra-familiale, le sang placentaire d’un </w:t>
      </w:r>
      <w:r>
        <w:rPr>
          <w:rFonts w:cstheme="minorHAnsi"/>
          <w:sz w:val="24"/>
          <w:szCs w:val="24"/>
        </w:rPr>
        <w:t>nouveau-né</w:t>
      </w:r>
      <w:r>
        <w:rPr>
          <w:rFonts w:cstheme="minorHAnsi"/>
          <w:sz w:val="24"/>
          <w:szCs w:val="24"/>
        </w:rPr>
        <w:t xml:space="preserve"> étant collecté et stocké dans l’objectif de traiter le frère ou la sœur atteint généralement de maladies génétiques (ex drépanocytose).</w:t>
      </w:r>
    </w:p>
    <w:p w14:paraId="6C969C0C" w14:textId="77777777" w:rsidR="002177EB" w:rsidRPr="00FC539C" w:rsidRDefault="002177EB" w:rsidP="002177EB">
      <w:pPr>
        <w:rPr>
          <w:rFonts w:cstheme="minorHAnsi"/>
          <w:sz w:val="24"/>
          <w:szCs w:val="24"/>
        </w:rPr>
      </w:pPr>
      <w:r w:rsidRPr="00FC539C">
        <w:rPr>
          <w:rFonts w:cstheme="minorHAnsi"/>
          <w:b/>
          <w:bCs/>
          <w:sz w:val="24"/>
          <w:szCs w:val="24"/>
        </w:rPr>
        <w:t>Conditionnement :</w:t>
      </w:r>
    </w:p>
    <w:p w14:paraId="68ED75F0" w14:textId="77777777" w:rsidR="002177EB" w:rsidRPr="00FC539C" w:rsidRDefault="002177EB" w:rsidP="002177EB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FC539C">
        <w:rPr>
          <w:rFonts w:cstheme="minorHAnsi"/>
          <w:b/>
          <w:bCs/>
          <w:sz w:val="24"/>
          <w:szCs w:val="24"/>
        </w:rPr>
        <w:t>Contenant :</w:t>
      </w:r>
      <w:r w:rsidRPr="00FC539C">
        <w:rPr>
          <w:rFonts w:cstheme="minorHAnsi"/>
          <w:sz w:val="24"/>
          <w:szCs w:val="24"/>
        </w:rPr>
        <w:t> Poche stérile en plastique médical.</w:t>
      </w:r>
    </w:p>
    <w:p w14:paraId="78D26282" w14:textId="77777777" w:rsidR="002177EB" w:rsidRPr="00FC539C" w:rsidRDefault="002177EB" w:rsidP="002177EB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FC539C">
        <w:rPr>
          <w:rFonts w:cstheme="minorHAnsi"/>
          <w:b/>
          <w:bCs/>
          <w:sz w:val="24"/>
          <w:szCs w:val="24"/>
        </w:rPr>
        <w:t>Volume :</w:t>
      </w:r>
      <w:r w:rsidRPr="00FC539C">
        <w:rPr>
          <w:rFonts w:cstheme="minorHAnsi"/>
          <w:sz w:val="24"/>
          <w:szCs w:val="24"/>
        </w:rPr>
        <w:t xml:space="preserve"> Variable, généralement entre 25 et 180 </w:t>
      </w:r>
      <w:proofErr w:type="spellStart"/>
      <w:r w:rsidRPr="00FC539C">
        <w:rPr>
          <w:rFonts w:cstheme="minorHAnsi"/>
          <w:sz w:val="24"/>
          <w:szCs w:val="24"/>
        </w:rPr>
        <w:t>mL</w:t>
      </w:r>
      <w:proofErr w:type="spellEnd"/>
      <w:r w:rsidRPr="00FC539C">
        <w:rPr>
          <w:rFonts w:cstheme="minorHAnsi"/>
          <w:sz w:val="24"/>
          <w:szCs w:val="24"/>
        </w:rPr>
        <w:t>.</w:t>
      </w:r>
    </w:p>
    <w:p w14:paraId="3A1A0BC4" w14:textId="77777777" w:rsidR="002177EB" w:rsidRPr="00FC539C" w:rsidRDefault="002177EB" w:rsidP="002177EB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FC539C">
        <w:rPr>
          <w:rFonts w:cstheme="minorHAnsi"/>
          <w:b/>
          <w:bCs/>
          <w:sz w:val="24"/>
          <w:szCs w:val="24"/>
        </w:rPr>
        <w:t>Identification :</w:t>
      </w:r>
      <w:r w:rsidRPr="00FC539C">
        <w:rPr>
          <w:rFonts w:cstheme="minorHAnsi"/>
          <w:sz w:val="24"/>
          <w:szCs w:val="24"/>
        </w:rPr>
        <w:t> Étiquetage clair avec informations du donneur, date de collecte, et identifiants uniques.</w:t>
      </w:r>
    </w:p>
    <w:p w14:paraId="14421F78" w14:textId="77777777" w:rsidR="002177EB" w:rsidRPr="00FC539C" w:rsidRDefault="002177EB" w:rsidP="002177EB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FC539C">
        <w:rPr>
          <w:rFonts w:cstheme="minorHAnsi"/>
          <w:b/>
          <w:bCs/>
          <w:sz w:val="24"/>
          <w:szCs w:val="24"/>
        </w:rPr>
        <w:t>Transport :</w:t>
      </w:r>
      <w:r w:rsidRPr="00FC539C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A température dirigée entre +2 et +24°C</w:t>
      </w:r>
    </w:p>
    <w:p w14:paraId="47BDFA16" w14:textId="77777777" w:rsidR="002177EB" w:rsidRPr="00FC539C" w:rsidRDefault="002177EB" w:rsidP="002177EB">
      <w:pPr>
        <w:rPr>
          <w:rFonts w:cstheme="minorHAnsi"/>
          <w:sz w:val="24"/>
          <w:szCs w:val="24"/>
        </w:rPr>
      </w:pPr>
      <w:r w:rsidRPr="00FC539C">
        <w:rPr>
          <w:rFonts w:cstheme="minorHAnsi"/>
          <w:b/>
          <w:bCs/>
          <w:sz w:val="24"/>
          <w:szCs w:val="24"/>
        </w:rPr>
        <w:t>Utilisation :</w:t>
      </w:r>
      <w:r w:rsidRPr="00FC539C">
        <w:rPr>
          <w:rFonts w:cstheme="minorHAnsi"/>
          <w:sz w:val="24"/>
          <w:szCs w:val="24"/>
        </w:rPr>
        <w:t xml:space="preserve"> Les unités de sang placentaire sont décongelées et réinfusées au patient dans un environnement médical contrôlé. Elles sont utilisées pour traiter diverses maladies du sang et certains cancers, en aidant à la régénération des cellules sanguines.</w:t>
      </w:r>
    </w:p>
    <w:p w14:paraId="53A05C42" w14:textId="77777777" w:rsidR="004A5BE9" w:rsidRDefault="004A5BE9"/>
    <w:sectPr w:rsidR="004A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7C9F"/>
    <w:multiLevelType w:val="multilevel"/>
    <w:tmpl w:val="50FA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EB"/>
    <w:rsid w:val="002177EB"/>
    <w:rsid w:val="004A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4D00"/>
  <w15:chartTrackingRefBased/>
  <w15:docId w15:val="{C8E2B175-8CD6-4C75-BB16-D6F3C784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7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177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77E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77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1054</Characters>
  <Application>Microsoft Office Word</Application>
  <DocSecurity>0</DocSecurity>
  <Lines>8</Lines>
  <Paragraphs>2</Paragraphs>
  <ScaleCrop>false</ScaleCrop>
  <Company>EFS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SOLER</dc:creator>
  <cp:keywords/>
  <dc:description/>
  <cp:lastModifiedBy>Christophe SOLER</cp:lastModifiedBy>
  <cp:revision>1</cp:revision>
  <dcterms:created xsi:type="dcterms:W3CDTF">2025-03-21T08:20:00Z</dcterms:created>
  <dcterms:modified xsi:type="dcterms:W3CDTF">2025-03-21T08:21:00Z</dcterms:modified>
</cp:coreProperties>
</file>